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A8" w:rsidRDefault="000624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360" w:after="360"/>
        <w:ind w:left="2268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Primera reunión de alto nivel bajo la Presidencia española</w:t>
      </w:r>
      <w:r w:rsidR="00720F49"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</w:p>
    <w:p w:rsidR="009B17CF" w:rsidRDefault="000624E6">
      <w:pPr>
        <w:pBdr>
          <w:top w:val="nil"/>
          <w:left w:val="nil"/>
          <w:bottom w:val="nil"/>
          <w:right w:val="nil"/>
          <w:between w:val="nil"/>
        </w:pBdr>
        <w:spacing w:after="360"/>
        <w:ind w:left="2268"/>
        <w:rPr>
          <w:b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000000"/>
          <w:sz w:val="40"/>
          <w:szCs w:val="44"/>
        </w:rPr>
        <w:t>La ministra de Defensa invita a la I</w:t>
      </w:r>
      <w:r w:rsidR="00720F49">
        <w:rPr>
          <w:rFonts w:ascii="Arial Narrow" w:eastAsia="Arial Narrow" w:hAnsi="Arial Narrow" w:cs="Arial Narrow"/>
          <w:b/>
          <w:color w:val="000000"/>
          <w:sz w:val="40"/>
          <w:szCs w:val="44"/>
        </w:rPr>
        <w:t>niciativa 5+5 Defensa</w:t>
      </w:r>
      <w:r w:rsidR="001C2B26" w:rsidRPr="008834C5">
        <w:rPr>
          <w:rFonts w:ascii="Arial Narrow" w:eastAsia="Arial Narrow" w:hAnsi="Arial Narrow" w:cs="Arial Narrow"/>
          <w:b/>
          <w:color w:val="000000"/>
          <w:sz w:val="40"/>
          <w:szCs w:val="44"/>
        </w:rPr>
        <w:t xml:space="preserve"> </w:t>
      </w:r>
      <w:r w:rsidR="001C2B26"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-1403349</wp:posOffset>
                </wp:positionH>
                <wp:positionV relativeFrom="paragraph">
                  <wp:posOffset>2089785</wp:posOffset>
                </wp:positionV>
                <wp:extent cx="4074120" cy="8262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74120" cy="8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2EEB" w:rsidRDefault="001C2B26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808080"/>
                                <w:sz w:val="96"/>
                                <w:szCs w:val="96"/>
                              </w:rPr>
                              <w:t xml:space="preserve"> Nota de prensa</w:t>
                            </w:r>
                          </w:p>
                        </w:txbxContent>
                      </wps:txbx>
                      <wps:bodyPr wrap="square" lIns="45720" tIns="91440" rIns="4572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10.5pt;margin-top:164.55pt;width:320.8pt;height:65.05pt;rotation:-90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" filled="f" stroked="f">
                <v:textbox inset="3.6pt,7.2pt,3.6pt,7.2pt">
                  <w:txbxContent>
                    <w:p w:rsidR="00ED2EEB" w:rsidRDefault="001C2B26">
                      <w:pPr>
                        <w:overflowPunct w:val="0"/>
                      </w:pPr>
                      <w:r>
                        <w:rPr>
                          <w:rFonts w:ascii="Arial Narrow" w:hAnsi="Arial Narrow" w:cs="Times New Roman"/>
                          <w:b/>
                          <w:bCs/>
                          <w:color w:val="808080"/>
                          <w:sz w:val="96"/>
                          <w:szCs w:val="96"/>
                        </w:rPr>
                        <w:t xml:space="preserve"> Nota de prensa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color w:val="000000"/>
          <w:sz w:val="40"/>
          <w:szCs w:val="44"/>
        </w:rPr>
        <w:t>a tener en cuenta el papel de la mujer y el cambio climático en su Plan de Acción 2025</w:t>
      </w:r>
    </w:p>
    <w:p w:rsidR="009B17CF" w:rsidRPr="00DF05D1" w:rsidRDefault="00062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32"/>
        </w:rPr>
        <w:t>Asisten</w:t>
      </w:r>
      <w:r w:rsidR="00720F49">
        <w:rPr>
          <w:b/>
          <w:color w:val="000000"/>
          <w:sz w:val="28"/>
          <w:szCs w:val="32"/>
        </w:rPr>
        <w:t xml:space="preserve"> delegaciones de los 10 países integrantes de las dos orillas del Mediterráneo (Argelia, Francia, Italia, Libia, Malta, Marruecos, Mauritania, Portugal, España y Túnez)</w:t>
      </w:r>
    </w:p>
    <w:p w:rsidR="000624E6" w:rsidRDefault="000624E6" w:rsidP="000624E6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8"/>
          <w:szCs w:val="26"/>
        </w:rPr>
      </w:pPr>
      <w:r>
        <w:rPr>
          <w:rFonts w:ascii="Arial Narrow" w:eastAsia="Arial Narrow" w:hAnsi="Arial Narrow" w:cs="Arial Narrow"/>
          <w:b/>
          <w:sz w:val="28"/>
          <w:szCs w:val="26"/>
          <w:u w:val="single"/>
        </w:rPr>
        <w:t>06</w:t>
      </w:r>
      <w:r w:rsidR="00F85A38">
        <w:rPr>
          <w:rFonts w:ascii="Arial Narrow" w:eastAsia="Arial Narrow" w:hAnsi="Arial Narrow" w:cs="Arial Narrow"/>
          <w:b/>
          <w:sz w:val="28"/>
          <w:szCs w:val="26"/>
          <w:u w:val="single"/>
        </w:rPr>
        <w:t>’</w:t>
      </w:r>
      <w:r>
        <w:rPr>
          <w:rFonts w:ascii="Arial Narrow" w:eastAsia="Arial Narrow" w:hAnsi="Arial Narrow" w:cs="Arial Narrow"/>
          <w:b/>
          <w:sz w:val="28"/>
          <w:szCs w:val="26"/>
          <w:u w:val="single"/>
        </w:rPr>
        <w:t>mar</w:t>
      </w:r>
      <w:r w:rsidR="00F85A38">
        <w:rPr>
          <w:rFonts w:ascii="Arial Narrow" w:eastAsia="Arial Narrow" w:hAnsi="Arial Narrow" w:cs="Arial Narrow"/>
          <w:b/>
          <w:sz w:val="28"/>
          <w:szCs w:val="26"/>
          <w:u w:val="single"/>
        </w:rPr>
        <w:t>.’</w:t>
      </w:r>
      <w:r w:rsidR="00320C9A">
        <w:rPr>
          <w:rFonts w:ascii="Arial Narrow" w:eastAsia="Arial Narrow" w:hAnsi="Arial Narrow" w:cs="Arial Narrow"/>
          <w:b/>
          <w:sz w:val="28"/>
          <w:szCs w:val="26"/>
          <w:u w:val="single"/>
        </w:rPr>
        <w:t>24</w:t>
      </w:r>
      <w:r w:rsidR="001C2B26" w:rsidRPr="008834C5">
        <w:rPr>
          <w:rFonts w:ascii="Arial Narrow" w:eastAsia="Arial Narrow" w:hAnsi="Arial Narrow" w:cs="Arial Narrow"/>
          <w:b/>
          <w:sz w:val="28"/>
          <w:szCs w:val="26"/>
          <w:u w:val="single"/>
        </w:rPr>
        <w:t>.-</w:t>
      </w:r>
      <w:r w:rsidR="001C2B26" w:rsidRPr="008834C5">
        <w:rPr>
          <w:rFonts w:ascii="Arial Narrow" w:eastAsia="Arial Narrow" w:hAnsi="Arial Narrow" w:cs="Arial Narrow"/>
          <w:sz w:val="28"/>
          <w:szCs w:val="26"/>
        </w:rPr>
        <w:t xml:space="preserve"> </w:t>
      </w:r>
      <w:r>
        <w:rPr>
          <w:rFonts w:ascii="Arial Narrow" w:eastAsia="Arial Narrow" w:hAnsi="Arial Narrow" w:cs="Arial Narrow"/>
          <w:sz w:val="28"/>
          <w:szCs w:val="26"/>
        </w:rPr>
        <w:t xml:space="preserve">La ministra de Defensa, Margarita Robles, ha </w:t>
      </w:r>
      <w:r w:rsidR="0063561F">
        <w:rPr>
          <w:rFonts w:ascii="Arial Narrow" w:eastAsia="Arial Narrow" w:hAnsi="Arial Narrow" w:cs="Arial Narrow"/>
          <w:sz w:val="28"/>
          <w:szCs w:val="26"/>
        </w:rPr>
        <w:t>intervenido</w:t>
      </w:r>
      <w:r>
        <w:rPr>
          <w:rFonts w:ascii="Arial Narrow" w:eastAsia="Arial Narrow" w:hAnsi="Arial Narrow" w:cs="Arial Narrow"/>
          <w:sz w:val="28"/>
          <w:szCs w:val="26"/>
        </w:rPr>
        <w:t xml:space="preserve"> hoy</w:t>
      </w:r>
      <w:r w:rsidR="0063561F">
        <w:rPr>
          <w:rFonts w:ascii="Arial Narrow" w:eastAsia="Arial Narrow" w:hAnsi="Arial Narrow" w:cs="Arial Narrow"/>
          <w:sz w:val="28"/>
          <w:szCs w:val="26"/>
        </w:rPr>
        <w:t xml:space="preserve"> mediante vídeo en</w:t>
      </w:r>
      <w:r w:rsidR="00166C30">
        <w:rPr>
          <w:rFonts w:ascii="Arial Narrow" w:eastAsia="Arial Narrow" w:hAnsi="Arial Narrow" w:cs="Arial Narrow"/>
          <w:sz w:val="28"/>
          <w:szCs w:val="26"/>
        </w:rPr>
        <w:t xml:space="preserve"> la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 38ª Reunión del Comité Direct</w:t>
      </w:r>
      <w:r w:rsidR="00720F49">
        <w:rPr>
          <w:rFonts w:ascii="Arial Narrow" w:eastAsia="Arial Narrow" w:hAnsi="Arial Narrow" w:cs="Arial Narrow"/>
          <w:sz w:val="28"/>
          <w:szCs w:val="26"/>
        </w:rPr>
        <w:t>or de la Iniciativa 5+5 Defensa, en la Reside</w:t>
      </w:r>
      <w:r>
        <w:rPr>
          <w:rFonts w:ascii="Arial Narrow" w:eastAsia="Arial Narrow" w:hAnsi="Arial Narrow" w:cs="Arial Narrow"/>
          <w:sz w:val="28"/>
          <w:szCs w:val="26"/>
        </w:rPr>
        <w:t xml:space="preserve">ncia Militar ‘Alcázar’ (Madrid), 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>e</w:t>
      </w:r>
      <w:r w:rsidR="004063B4">
        <w:rPr>
          <w:rFonts w:ascii="Arial Narrow" w:eastAsia="Arial Narrow" w:hAnsi="Arial Narrow" w:cs="Arial Narrow"/>
          <w:sz w:val="28"/>
          <w:szCs w:val="26"/>
        </w:rPr>
        <w:t xml:space="preserve">l primer encuentro </w:t>
      </w:r>
      <w:r w:rsidR="00A8568C">
        <w:rPr>
          <w:rFonts w:ascii="Arial Narrow" w:eastAsia="Arial Narrow" w:hAnsi="Arial Narrow" w:cs="Arial Narrow"/>
          <w:sz w:val="28"/>
          <w:szCs w:val="26"/>
        </w:rPr>
        <w:t>de alto nivel que se celebra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 en 2024</w:t>
      </w:r>
      <w:r>
        <w:rPr>
          <w:rFonts w:ascii="Arial Narrow" w:eastAsia="Arial Narrow" w:hAnsi="Arial Narrow" w:cs="Arial Narrow"/>
          <w:sz w:val="28"/>
          <w:szCs w:val="26"/>
        </w:rPr>
        <w:t xml:space="preserve"> bajo la Presidencia española.</w:t>
      </w:r>
    </w:p>
    <w:p w:rsidR="000624E6" w:rsidRDefault="000624E6" w:rsidP="00720F49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8"/>
          <w:szCs w:val="26"/>
        </w:rPr>
      </w:pPr>
      <w:r>
        <w:rPr>
          <w:rFonts w:ascii="Arial Narrow" w:eastAsia="Arial Narrow" w:hAnsi="Arial Narrow" w:cs="Arial Narrow"/>
          <w:sz w:val="28"/>
          <w:szCs w:val="26"/>
        </w:rPr>
        <w:t xml:space="preserve">La ministra Robles ha invitado a las delegaciones asistentes de los 10 países integrantes </w:t>
      </w:r>
      <w:r w:rsidR="0063561F">
        <w:rPr>
          <w:rFonts w:ascii="Arial Narrow" w:eastAsia="Arial Narrow" w:hAnsi="Arial Narrow" w:cs="Arial Narrow"/>
          <w:sz w:val="28"/>
          <w:szCs w:val="26"/>
        </w:rPr>
        <w:t xml:space="preserve">que tengan en cuenta “otras iniciativas de carácter más transversal, como el papel de la mujer o los efectos de cambio climático” a la hora de diseñar el Plan de Acción para 2025. </w:t>
      </w:r>
    </w:p>
    <w:p w:rsidR="000624E6" w:rsidRDefault="0063561F" w:rsidP="00720F49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8"/>
          <w:szCs w:val="26"/>
        </w:rPr>
      </w:pPr>
      <w:r>
        <w:rPr>
          <w:rFonts w:ascii="Arial Narrow" w:eastAsia="Arial Narrow" w:hAnsi="Arial Narrow" w:cs="Arial Narrow"/>
          <w:sz w:val="28"/>
          <w:szCs w:val="26"/>
        </w:rPr>
        <w:t xml:space="preserve">En sus palabras, la titular de Defensa se ha referido al convulso escenario mundial, con “ejemplos recientes y sobrecogedores en Europa, </w:t>
      </w:r>
      <w:proofErr w:type="spellStart"/>
      <w:r>
        <w:rPr>
          <w:rFonts w:ascii="Arial Narrow" w:eastAsia="Arial Narrow" w:hAnsi="Arial Narrow" w:cs="Arial Narrow"/>
          <w:sz w:val="28"/>
          <w:szCs w:val="26"/>
        </w:rPr>
        <w:t>Sahel</w:t>
      </w:r>
      <w:proofErr w:type="spellEnd"/>
      <w:r>
        <w:rPr>
          <w:rFonts w:ascii="Arial Narrow" w:eastAsia="Arial Narrow" w:hAnsi="Arial Narrow" w:cs="Arial Narrow"/>
          <w:sz w:val="28"/>
          <w:szCs w:val="26"/>
        </w:rPr>
        <w:t xml:space="preserve"> y Oriente Medio”, una situación de crisis que contrasta con el Mediterráneo occidental, donde se mantiene “un escenario privilegiado de paz y estabilidad, en cuya preservación los diez países aquí representados somos partícipes y corresponsables”.</w:t>
      </w:r>
    </w:p>
    <w:p w:rsidR="00720F49" w:rsidRPr="00720F49" w:rsidRDefault="0063561F" w:rsidP="0063561F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8"/>
          <w:szCs w:val="26"/>
        </w:rPr>
      </w:pPr>
      <w:r>
        <w:rPr>
          <w:rFonts w:ascii="Arial Narrow" w:eastAsia="Arial Narrow" w:hAnsi="Arial Narrow" w:cs="Arial Narrow"/>
          <w:sz w:val="28"/>
          <w:szCs w:val="26"/>
        </w:rPr>
        <w:t xml:space="preserve">Delegaciones de 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Argelia, Francia, Italia, Libia, Malta, Marruecos, Mauritania, Portugal, España y </w:t>
      </w:r>
      <w:r>
        <w:rPr>
          <w:rFonts w:ascii="Arial Narrow" w:eastAsia="Arial Narrow" w:hAnsi="Arial Narrow" w:cs="Arial Narrow"/>
          <w:sz w:val="28"/>
          <w:szCs w:val="26"/>
        </w:rPr>
        <w:t xml:space="preserve">Túnez se reúnen hoy y mañana bajo la presidencia del general de división del Ejército de Tierra </w:t>
      </w:r>
      <w:r w:rsidR="00720F49">
        <w:rPr>
          <w:rFonts w:ascii="Arial Narrow" w:eastAsia="Arial Narrow" w:hAnsi="Arial Narrow" w:cs="Arial Narrow"/>
          <w:sz w:val="28"/>
          <w:szCs w:val="26"/>
        </w:rPr>
        <w:t>Ramón Armada Vázquez, general asesor del secretario g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eneral de Política de Defensa para retos transversales de seguridad y defensa. </w:t>
      </w:r>
    </w:p>
    <w:p w:rsidR="00720F49" w:rsidRDefault="004063B4" w:rsidP="00720F49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8"/>
          <w:szCs w:val="26"/>
        </w:rPr>
      </w:pPr>
      <w:r>
        <w:rPr>
          <w:rFonts w:ascii="Arial Narrow" w:eastAsia="Arial Narrow" w:hAnsi="Arial Narrow" w:cs="Arial Narrow"/>
          <w:sz w:val="28"/>
          <w:szCs w:val="26"/>
        </w:rPr>
        <w:t>Durante estos dos días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 está previsto que los participantes </w:t>
      </w:r>
      <w:r w:rsidR="00A8568C">
        <w:rPr>
          <w:rFonts w:ascii="Arial Narrow" w:eastAsia="Arial Narrow" w:hAnsi="Arial Narrow" w:cs="Arial Narrow"/>
          <w:sz w:val="28"/>
          <w:szCs w:val="26"/>
        </w:rPr>
        <w:t>realicen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 un seguimiento de las actividades de cooperación militar previstas en el Plan de Acción para este año, inici</w:t>
      </w:r>
      <w:r w:rsidR="00A8568C">
        <w:rPr>
          <w:rFonts w:ascii="Arial Narrow" w:eastAsia="Arial Narrow" w:hAnsi="Arial Narrow" w:cs="Arial Narrow"/>
          <w:sz w:val="28"/>
          <w:szCs w:val="26"/>
        </w:rPr>
        <w:t>en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 la programación del Plan de Acción para el año 2025 y supervis</w:t>
      </w:r>
      <w:r w:rsidR="00A8568C">
        <w:rPr>
          <w:rFonts w:ascii="Arial Narrow" w:eastAsia="Arial Narrow" w:hAnsi="Arial Narrow" w:cs="Arial Narrow"/>
          <w:sz w:val="28"/>
          <w:szCs w:val="26"/>
        </w:rPr>
        <w:t>en</w:t>
      </w:r>
      <w:r w:rsidR="00720F49" w:rsidRPr="00720F49">
        <w:rPr>
          <w:rFonts w:ascii="Arial Narrow" w:eastAsia="Arial Narrow" w:hAnsi="Arial Narrow" w:cs="Arial Narrow"/>
          <w:sz w:val="28"/>
          <w:szCs w:val="26"/>
        </w:rPr>
        <w:t xml:space="preserve"> las actuaciones de los órganos académicos que integran la Iniciativa, como el Colegio de Defensa 5+5 y el Centro Euro-Magrebí de Investigación y Estudios Estratégicos (CEMRES por sus siglas en francés).</w:t>
      </w:r>
    </w:p>
    <w:p w:rsidR="0063561F" w:rsidRPr="00720F49" w:rsidRDefault="0063561F" w:rsidP="00720F49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8"/>
          <w:szCs w:val="26"/>
        </w:rPr>
      </w:pPr>
      <w:r>
        <w:rPr>
          <w:rFonts w:ascii="Arial Narrow" w:eastAsia="Arial Narrow" w:hAnsi="Arial Narrow" w:cs="Arial Narrow"/>
          <w:sz w:val="28"/>
          <w:szCs w:val="26"/>
        </w:rPr>
        <w:t xml:space="preserve">La ministra se ha referido concretamente al “valor especial de las actividades formativas y de investigación, que nos corresponde impulsar apoyando a la actuación del CEMRES </w:t>
      </w:r>
      <w:r w:rsidR="00593759">
        <w:rPr>
          <w:rFonts w:ascii="Arial Narrow" w:eastAsia="Arial Narrow" w:hAnsi="Arial Narrow" w:cs="Arial Narrow"/>
          <w:sz w:val="28"/>
          <w:szCs w:val="26"/>
        </w:rPr>
        <w:t>y del Colegio de Defensa, reputadas instituciones por méritos propios”.</w:t>
      </w:r>
    </w:p>
    <w:p w:rsidR="00A8568C" w:rsidRDefault="00720F49" w:rsidP="00720F49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8"/>
          <w:szCs w:val="26"/>
        </w:rPr>
      </w:pPr>
      <w:r w:rsidRPr="00720F49">
        <w:rPr>
          <w:rFonts w:ascii="Arial Narrow" w:eastAsia="Arial Narrow" w:hAnsi="Arial Narrow" w:cs="Arial Narrow"/>
          <w:sz w:val="28"/>
          <w:szCs w:val="26"/>
        </w:rPr>
        <w:t xml:space="preserve">Esta reunión de alto nivel supone el primer hito relevante de la Presidencia española de la Iniciativa 5+5 de Defensa, durante la que se ejecutará un ambicioso plan de hasta 74 actividades de carácter multilateral (12 de ellas organizadas por España) en diversos ámbitos como seguridad marítima y aérea, </w:t>
      </w:r>
      <w:proofErr w:type="spellStart"/>
      <w:r w:rsidRPr="00720F49">
        <w:rPr>
          <w:rFonts w:ascii="Arial Narrow" w:eastAsia="Arial Narrow" w:hAnsi="Arial Narrow" w:cs="Arial Narrow"/>
          <w:sz w:val="28"/>
          <w:szCs w:val="26"/>
        </w:rPr>
        <w:t>ciberdefensa</w:t>
      </w:r>
      <w:proofErr w:type="spellEnd"/>
      <w:r w:rsidRPr="00720F49">
        <w:rPr>
          <w:rFonts w:ascii="Arial Narrow" w:eastAsia="Arial Narrow" w:hAnsi="Arial Narrow" w:cs="Arial Narrow"/>
          <w:sz w:val="28"/>
          <w:szCs w:val="26"/>
        </w:rPr>
        <w:t>, sanidad en operaciones o perspectiva de género en operaciones en el exterior.</w:t>
      </w:r>
    </w:p>
    <w:p w:rsidR="00032F40" w:rsidRPr="0071376D" w:rsidRDefault="00720F49" w:rsidP="00720F49">
      <w:pPr>
        <w:spacing w:before="360" w:after="240"/>
        <w:ind w:left="2268"/>
        <w:jc w:val="both"/>
        <w:rPr>
          <w:rFonts w:ascii="Arial Narrow" w:eastAsia="Arial Narrow" w:hAnsi="Arial Narrow" w:cs="Arial Narrow"/>
          <w:sz w:val="26"/>
          <w:szCs w:val="26"/>
        </w:rPr>
      </w:pPr>
      <w:r w:rsidRPr="00720F49">
        <w:rPr>
          <w:rFonts w:ascii="Arial Narrow" w:eastAsia="Arial Narrow" w:hAnsi="Arial Narrow" w:cs="Arial Narrow"/>
          <w:sz w:val="28"/>
          <w:szCs w:val="26"/>
        </w:rPr>
        <w:t xml:space="preserve">Todo ello con el objetivo de promover la seguridad en el Mediterráneo Occidental en un clima de diálogo, cooperación y confianza mutua, aspectos que </w:t>
      </w:r>
      <w:r>
        <w:rPr>
          <w:rFonts w:ascii="Arial Narrow" w:eastAsia="Arial Narrow" w:hAnsi="Arial Narrow" w:cs="Arial Narrow"/>
          <w:sz w:val="28"/>
          <w:szCs w:val="26"/>
        </w:rPr>
        <w:t>constituyen la esencia de esta i</w:t>
      </w:r>
      <w:r w:rsidRPr="00720F49">
        <w:rPr>
          <w:rFonts w:ascii="Arial Narrow" w:eastAsia="Arial Narrow" w:hAnsi="Arial Narrow" w:cs="Arial Narrow"/>
          <w:sz w:val="28"/>
          <w:szCs w:val="26"/>
        </w:rPr>
        <w:t>niciativa y que contribuyen de manera significativa a la estabilidad de esta región mediterránea.</w:t>
      </w:r>
    </w:p>
    <w:p w:rsidR="00032F40" w:rsidRDefault="00032F40" w:rsidP="00032F40">
      <w:pPr>
        <w:pStyle w:val="Prrafodelista"/>
        <w:spacing w:before="360" w:after="240"/>
        <w:ind w:left="2268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593759" w:rsidRPr="00593759" w:rsidRDefault="001E3062" w:rsidP="00032F40">
      <w:pPr>
        <w:pStyle w:val="Prrafodelista"/>
        <w:spacing w:before="360" w:after="240"/>
        <w:ind w:left="2268"/>
        <w:jc w:val="both"/>
        <w:rPr>
          <w:rFonts w:ascii="Arial Narrow" w:eastAsia="Arial Narrow" w:hAnsi="Arial Narrow" w:cs="Arial Narrow"/>
          <w:color w:val="0070C0"/>
          <w:sz w:val="26"/>
          <w:szCs w:val="26"/>
        </w:rPr>
      </w:pPr>
      <w:hyperlink r:id="rId7" w:history="1">
        <w:r w:rsidR="00593759" w:rsidRPr="0037020E">
          <w:rPr>
            <w:rStyle w:val="Hipervnculo"/>
            <w:rFonts w:ascii="Arial Narrow" w:eastAsia="Arial Narrow" w:hAnsi="Arial Narrow" w:cs="Arial Narrow"/>
            <w:sz w:val="26"/>
            <w:szCs w:val="26"/>
          </w:rPr>
          <w:t>Enlace al vídeo de intervención de la ministra de Defensa</w:t>
        </w:r>
      </w:hyperlink>
    </w:p>
    <w:sectPr w:rsidR="00593759" w:rsidRPr="00593759">
      <w:headerReference w:type="default" r:id="rId8"/>
      <w:footerReference w:type="default" r:id="rId9"/>
      <w:pgSz w:w="11906" w:h="16838"/>
      <w:pgMar w:top="903" w:right="1416" w:bottom="1985" w:left="340" w:header="847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62" w:rsidRDefault="001E3062">
      <w:r>
        <w:separator/>
      </w:r>
    </w:p>
  </w:endnote>
  <w:endnote w:type="continuationSeparator" w:id="0">
    <w:p w:rsidR="001E3062" w:rsidRDefault="001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CF" w:rsidRDefault="009B17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" w:eastAsia="Gill Sans" w:hAnsi="Gill Sans" w:cs="Gill Sans"/>
        <w:color w:val="000000"/>
        <w:sz w:val="16"/>
        <w:szCs w:val="16"/>
      </w:rPr>
    </w:pPr>
  </w:p>
  <w:tbl>
    <w:tblPr>
      <w:tblStyle w:val="a0"/>
      <w:tblW w:w="11056" w:type="dxa"/>
      <w:tblInd w:w="354" w:type="dxa"/>
      <w:tblLayout w:type="fixed"/>
      <w:tblLook w:val="0000" w:firstRow="0" w:lastRow="0" w:firstColumn="0" w:lastColumn="0" w:noHBand="0" w:noVBand="0"/>
    </w:tblPr>
    <w:tblGrid>
      <w:gridCol w:w="2551"/>
      <w:gridCol w:w="6379"/>
      <w:gridCol w:w="2126"/>
    </w:tblGrid>
    <w:tr w:rsidR="009B17CF">
      <w:trPr>
        <w:trHeight w:val="120"/>
      </w:trPr>
      <w:tc>
        <w:tcPr>
          <w:tcW w:w="2551" w:type="dxa"/>
          <w:shd w:val="clear" w:color="auto" w:fill="auto"/>
          <w:vAlign w:val="center"/>
        </w:tcPr>
        <w:p w:rsidR="009B17CF" w:rsidRDefault="001C2B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" w:eastAsia="Gill Sans" w:hAnsi="Gill Sans" w:cs="Gill Sans"/>
              <w:color w:val="000000"/>
              <w:sz w:val="10"/>
              <w:szCs w:val="10"/>
            </w:rPr>
          </w:pPr>
          <w:r>
            <w:rPr>
              <w:rFonts w:ascii="Gill Sans" w:eastAsia="Gill Sans" w:hAnsi="Gill Sans" w:cs="Gill Sans"/>
              <w:color w:val="000000"/>
              <w:sz w:val="10"/>
              <w:szCs w:val="10"/>
            </w:rPr>
            <w:t>CORREO ELECTRÓNICO</w:t>
          </w:r>
        </w:p>
        <w:p w:rsidR="009B17CF" w:rsidRDefault="009B17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" w:eastAsia="Gill Sans" w:hAnsi="Gill Sans" w:cs="Gill Sans"/>
              <w:color w:val="000000"/>
              <w:sz w:val="10"/>
              <w:szCs w:val="10"/>
            </w:rPr>
          </w:pPr>
        </w:p>
        <w:p w:rsidR="009B17CF" w:rsidRDefault="001E30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hyperlink r:id="rId1">
            <w:r w:rsidR="001C2B26">
              <w:rPr>
                <w:color w:val="0563C1"/>
                <w:sz w:val="18"/>
                <w:szCs w:val="18"/>
                <w:u w:val="single"/>
              </w:rPr>
              <w:t>prensa.defensa@oc.mde.es</w:t>
            </w:r>
          </w:hyperlink>
        </w:p>
      </w:tc>
      <w:tc>
        <w:tcPr>
          <w:tcW w:w="6379" w:type="dxa"/>
          <w:shd w:val="clear" w:color="auto" w:fill="auto"/>
        </w:tcPr>
        <w:p w:rsidR="009B17CF" w:rsidRDefault="001C2B26">
          <w:pPr>
            <w:jc w:val="center"/>
            <w:rPr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left w:val="single" w:sz="4" w:space="0" w:color="000000"/>
          </w:tcBorders>
          <w:shd w:val="clear" w:color="auto" w:fill="auto"/>
          <w:tcMar>
            <w:left w:w="65" w:type="dxa"/>
          </w:tcMar>
        </w:tcPr>
        <w:p w:rsidR="009B17CF" w:rsidRDefault="009B17CF">
          <w:pPr>
            <w:spacing w:after="120"/>
            <w:rPr>
              <w:rFonts w:ascii="Gill Sans" w:eastAsia="Gill Sans" w:hAnsi="Gill Sans" w:cs="Gill Sans"/>
              <w:sz w:val="10"/>
              <w:szCs w:val="10"/>
            </w:rPr>
          </w:pPr>
        </w:p>
        <w:p w:rsidR="009B17CF" w:rsidRDefault="001C2B26">
          <w:pPr>
            <w:rPr>
              <w:rFonts w:ascii="Gill Sans" w:eastAsia="Gill Sans" w:hAnsi="Gill Sans" w:cs="Gill Sans"/>
              <w:sz w:val="10"/>
              <w:szCs w:val="10"/>
            </w:rPr>
          </w:pPr>
          <w:r>
            <w:rPr>
              <w:rFonts w:ascii="Gill Sans" w:eastAsia="Gill Sans" w:hAnsi="Gill Sans" w:cs="Gill Sans"/>
              <w:sz w:val="10"/>
              <w:szCs w:val="10"/>
            </w:rPr>
            <w:t>Pº de la Castellana 109</w:t>
          </w:r>
        </w:p>
        <w:p w:rsidR="009B17CF" w:rsidRDefault="001C2B26">
          <w:r>
            <w:rPr>
              <w:rFonts w:ascii="Gill Sans" w:eastAsia="Gill Sans" w:hAnsi="Gill Sans" w:cs="Gill Sans"/>
              <w:sz w:val="10"/>
              <w:szCs w:val="10"/>
            </w:rPr>
            <w:t>28071- MADRID</w:t>
          </w:r>
        </w:p>
        <w:p w:rsidR="009B17CF" w:rsidRDefault="001C2B26">
          <w:pPr>
            <w:rPr>
              <w:rFonts w:ascii="Gill Sans" w:eastAsia="Gill Sans" w:hAnsi="Gill Sans" w:cs="Gill Sans"/>
              <w:sz w:val="10"/>
              <w:szCs w:val="10"/>
            </w:rPr>
          </w:pPr>
          <w:r>
            <w:rPr>
              <w:rFonts w:ascii="Gill Sans" w:eastAsia="Gill Sans" w:hAnsi="Gill Sans" w:cs="Gill Sans"/>
              <w:sz w:val="10"/>
              <w:szCs w:val="10"/>
            </w:rPr>
            <w:t>TEL: 91.395.54.73</w:t>
          </w:r>
        </w:p>
        <w:p w:rsidR="009B17CF" w:rsidRDefault="009B17CF">
          <w:pPr>
            <w:spacing w:after="120"/>
            <w:rPr>
              <w:rFonts w:ascii="Gill Sans" w:eastAsia="Gill Sans" w:hAnsi="Gill Sans" w:cs="Gill Sans"/>
              <w:sz w:val="10"/>
              <w:szCs w:val="10"/>
            </w:rPr>
          </w:pPr>
        </w:p>
      </w:tc>
    </w:tr>
    <w:tr w:rsidR="009B17CF">
      <w:trPr>
        <w:trHeight w:val="120"/>
      </w:trPr>
      <w:tc>
        <w:tcPr>
          <w:tcW w:w="2551" w:type="dxa"/>
          <w:shd w:val="clear" w:color="auto" w:fill="auto"/>
          <w:tcMar>
            <w:top w:w="113" w:type="dxa"/>
          </w:tcMar>
        </w:tcPr>
        <w:p w:rsidR="009B17CF" w:rsidRDefault="001C2B2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542F8D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542F8D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6379" w:type="dxa"/>
          <w:shd w:val="clear" w:color="auto" w:fill="auto"/>
        </w:tcPr>
        <w:p w:rsidR="009B17CF" w:rsidRDefault="001C2B26">
          <w:pPr>
            <w:jc w:val="center"/>
          </w:pPr>
          <w:r>
            <w:rPr>
              <w:rFonts w:ascii="Arial Narrow" w:eastAsia="Arial Narrow" w:hAnsi="Arial Narrow" w:cs="Arial Narrow"/>
              <w:b/>
              <w:sz w:val="22"/>
              <w:szCs w:val="22"/>
            </w:rPr>
            <w:t>www.defensa gob.es</w:t>
          </w:r>
        </w:p>
      </w:tc>
      <w:tc>
        <w:tcPr>
          <w:tcW w:w="2126" w:type="dxa"/>
          <w:vMerge/>
          <w:tcBorders>
            <w:left w:val="single" w:sz="4" w:space="0" w:color="000000"/>
          </w:tcBorders>
          <w:shd w:val="clear" w:color="auto" w:fill="auto"/>
          <w:tcMar>
            <w:left w:w="65" w:type="dxa"/>
          </w:tcMar>
        </w:tcPr>
        <w:p w:rsidR="009B17CF" w:rsidRDefault="009B17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</w:tbl>
  <w:p w:rsidR="009B17CF" w:rsidRDefault="009B17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urier" w:eastAsia="Courier" w:hAnsi="Courier" w:cs="Courier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62" w:rsidRDefault="001E3062">
      <w:r>
        <w:separator/>
      </w:r>
    </w:p>
  </w:footnote>
  <w:footnote w:type="continuationSeparator" w:id="0">
    <w:p w:rsidR="001E3062" w:rsidRDefault="001E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CF" w:rsidRDefault="009B17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sz w:val="26"/>
        <w:szCs w:val="26"/>
      </w:rPr>
    </w:pPr>
  </w:p>
  <w:tbl>
    <w:tblPr>
      <w:tblStyle w:val="a"/>
      <w:tblW w:w="15308" w:type="dxa"/>
      <w:tblInd w:w="779" w:type="dxa"/>
      <w:tblLayout w:type="fixed"/>
      <w:tblLook w:val="0000" w:firstRow="0" w:lastRow="0" w:firstColumn="0" w:lastColumn="0" w:noHBand="0" w:noVBand="0"/>
    </w:tblPr>
    <w:tblGrid>
      <w:gridCol w:w="1346"/>
      <w:gridCol w:w="6309"/>
      <w:gridCol w:w="2551"/>
      <w:gridCol w:w="2551"/>
      <w:gridCol w:w="2551"/>
    </w:tblGrid>
    <w:tr w:rsidR="009B17CF">
      <w:trPr>
        <w:trHeight w:val="284"/>
      </w:trPr>
      <w:tc>
        <w:tcPr>
          <w:tcW w:w="1346" w:type="dxa"/>
          <w:vMerge w:val="restart"/>
          <w:shd w:val="clear" w:color="auto" w:fill="auto"/>
        </w:tcPr>
        <w:p w:rsidR="009B17CF" w:rsidRDefault="001C2B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70"/>
            <w:rPr>
              <w:color w:val="000000"/>
            </w:rPr>
          </w:pPr>
          <w:r>
            <w:rPr>
              <w:color w:val="000000"/>
            </w:rPr>
            <w:object w:dxaOrig="1081" w:dyaOrig="1141">
              <v:shape id="ole_rId1" o:spid="_x0000_i1025" style="width:57pt;height:59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774171332" r:id="rId2"/>
            </w:object>
          </w:r>
        </w:p>
      </w:tc>
      <w:tc>
        <w:tcPr>
          <w:tcW w:w="6309" w:type="dxa"/>
          <w:vMerge w:val="restart"/>
          <w:shd w:val="clear" w:color="auto" w:fill="auto"/>
        </w:tcPr>
        <w:p w:rsidR="009B17CF" w:rsidRDefault="001C2B26">
          <w:pPr>
            <w:spacing w:before="360"/>
            <w:rPr>
              <w:rFonts w:ascii="Garamond" w:eastAsia="Garamond" w:hAnsi="Garamond" w:cs="Garamond"/>
              <w:sz w:val="22"/>
              <w:szCs w:val="22"/>
            </w:rPr>
          </w:pPr>
          <w:r>
            <w:rPr>
              <w:rFonts w:ascii="Gill Sans" w:eastAsia="Gill Sans" w:hAnsi="Gill Sans" w:cs="Gill Sans"/>
              <w:sz w:val="22"/>
              <w:szCs w:val="22"/>
            </w:rPr>
            <w:t xml:space="preserve">MINISTERIO </w:t>
          </w:r>
        </w:p>
        <w:p w:rsidR="009B17CF" w:rsidRDefault="001C2B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127"/>
              <w:tab w:val="left" w:pos="6521"/>
            </w:tabs>
            <w:rPr>
              <w:rFonts w:ascii="Gill Sans" w:eastAsia="Gill Sans" w:hAnsi="Gill Sans" w:cs="Gill Sans"/>
              <w:color w:val="000000"/>
              <w:sz w:val="22"/>
              <w:szCs w:val="22"/>
            </w:rPr>
          </w:pPr>
          <w:r>
            <w:rPr>
              <w:rFonts w:ascii="Gill Sans" w:eastAsia="Gill Sans" w:hAnsi="Gill Sans" w:cs="Gill Sans"/>
              <w:color w:val="000000"/>
              <w:sz w:val="22"/>
              <w:szCs w:val="22"/>
            </w:rPr>
            <w:t>DE DEFENSA</w:t>
          </w:r>
        </w:p>
      </w:tc>
      <w:tc>
        <w:tcPr>
          <w:tcW w:w="2551" w:type="dxa"/>
          <w:vMerge w:val="restart"/>
          <w:vAlign w:val="bottom"/>
        </w:tcPr>
        <w:p w:rsidR="009B17CF" w:rsidRDefault="006823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6521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7890EAA" wp14:editId="52FDD3A5">
                <wp:extent cx="1367155" cy="493395"/>
                <wp:effectExtent l="0" t="0" r="4445" b="1905"/>
                <wp:docPr id="2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3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155" cy="4933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9B17CF" w:rsidRDefault="009B17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6521"/>
            </w:tabs>
            <w:jc w:val="center"/>
            <w:rPr>
              <w:color w:val="000000"/>
            </w:rPr>
          </w:pPr>
        </w:p>
      </w:tc>
      <w:tc>
        <w:tcPr>
          <w:tcW w:w="2551" w:type="dxa"/>
          <w:shd w:val="clear" w:color="auto" w:fill="auto"/>
        </w:tcPr>
        <w:p w:rsidR="009B17CF" w:rsidRDefault="009B17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6521"/>
            </w:tabs>
            <w:jc w:val="center"/>
            <w:rPr>
              <w:color w:val="000000"/>
            </w:rPr>
          </w:pPr>
        </w:p>
      </w:tc>
    </w:tr>
    <w:tr w:rsidR="009B17CF">
      <w:trPr>
        <w:trHeight w:val="170"/>
      </w:trPr>
      <w:tc>
        <w:tcPr>
          <w:tcW w:w="1346" w:type="dxa"/>
          <w:vMerge/>
          <w:shd w:val="clear" w:color="auto" w:fill="auto"/>
        </w:tcPr>
        <w:p w:rsidR="009B17CF" w:rsidRDefault="009B17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6309" w:type="dxa"/>
          <w:vMerge/>
          <w:shd w:val="clear" w:color="auto" w:fill="auto"/>
        </w:tcPr>
        <w:p w:rsidR="009B17CF" w:rsidRDefault="009B17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551" w:type="dxa"/>
          <w:vMerge/>
          <w:vAlign w:val="bottom"/>
        </w:tcPr>
        <w:p w:rsidR="009B17CF" w:rsidRDefault="009B17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551" w:type="dxa"/>
        </w:tcPr>
        <w:p w:rsidR="009B17CF" w:rsidRDefault="009B17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6521"/>
            </w:tabs>
            <w:jc w:val="center"/>
            <w:rPr>
              <w:color w:val="000000"/>
            </w:rPr>
          </w:pPr>
        </w:p>
      </w:tc>
      <w:tc>
        <w:tcPr>
          <w:tcW w:w="2551" w:type="dxa"/>
          <w:shd w:val="clear" w:color="auto" w:fill="FFFFFF"/>
        </w:tcPr>
        <w:p w:rsidR="009B17CF" w:rsidRDefault="009B17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6521"/>
            </w:tabs>
            <w:jc w:val="center"/>
            <w:rPr>
              <w:color w:val="000000"/>
            </w:rPr>
          </w:pPr>
        </w:p>
      </w:tc>
    </w:tr>
    <w:tr w:rsidR="009B17CF">
      <w:trPr>
        <w:trHeight w:val="40"/>
      </w:trPr>
      <w:tc>
        <w:tcPr>
          <w:tcW w:w="1346" w:type="dxa"/>
          <w:vMerge/>
          <w:shd w:val="clear" w:color="auto" w:fill="auto"/>
        </w:tcPr>
        <w:p w:rsidR="009B17CF" w:rsidRDefault="009B17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6309" w:type="dxa"/>
          <w:vMerge/>
          <w:shd w:val="clear" w:color="auto" w:fill="auto"/>
        </w:tcPr>
        <w:p w:rsidR="009B17CF" w:rsidRDefault="009B17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551" w:type="dxa"/>
          <w:vMerge/>
          <w:vAlign w:val="bottom"/>
        </w:tcPr>
        <w:p w:rsidR="009B17CF" w:rsidRDefault="009B17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551" w:type="dxa"/>
        </w:tcPr>
        <w:p w:rsidR="009B17CF" w:rsidRDefault="009B17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6521"/>
            </w:tabs>
            <w:rPr>
              <w:color w:val="000000"/>
              <w:sz w:val="18"/>
              <w:szCs w:val="18"/>
            </w:rPr>
          </w:pPr>
        </w:p>
      </w:tc>
      <w:tc>
        <w:tcPr>
          <w:tcW w:w="2551" w:type="dxa"/>
          <w:shd w:val="clear" w:color="auto" w:fill="FFFFFF"/>
          <w:tcMar>
            <w:left w:w="113" w:type="dxa"/>
          </w:tcMar>
          <w:vAlign w:val="center"/>
        </w:tcPr>
        <w:p w:rsidR="009B17CF" w:rsidRDefault="009B17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6521"/>
            </w:tabs>
            <w:rPr>
              <w:color w:val="000000"/>
              <w:sz w:val="18"/>
              <w:szCs w:val="18"/>
            </w:rPr>
          </w:pPr>
        </w:p>
      </w:tc>
    </w:tr>
  </w:tbl>
  <w:p w:rsidR="009B17CF" w:rsidRDefault="009B17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127"/>
        <w:tab w:val="left" w:pos="6521"/>
      </w:tabs>
      <w:ind w:firstLine="227"/>
      <w:rPr>
        <w:rFonts w:ascii="Gill Sans" w:eastAsia="Gill Sans" w:hAnsi="Gill Sans" w:cs="Gill Sans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63FD"/>
    <w:multiLevelType w:val="multilevel"/>
    <w:tmpl w:val="71625160"/>
    <w:lvl w:ilvl="0">
      <w:start w:val="1"/>
      <w:numFmt w:val="bullet"/>
      <w:lvlText w:val="●"/>
      <w:lvlJc w:val="left"/>
      <w:pPr>
        <w:ind w:left="26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A01925"/>
    <w:multiLevelType w:val="hybridMultilevel"/>
    <w:tmpl w:val="D4E85120"/>
    <w:lvl w:ilvl="0" w:tplc="787CA86E">
      <w:start w:val="1"/>
      <w:numFmt w:val="bullet"/>
      <w:lvlText w:val=""/>
      <w:lvlJc w:val="left"/>
      <w:pPr>
        <w:ind w:left="2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CF"/>
    <w:rsid w:val="00032F40"/>
    <w:rsid w:val="000624E6"/>
    <w:rsid w:val="00166C30"/>
    <w:rsid w:val="001C2B26"/>
    <w:rsid w:val="001E3062"/>
    <w:rsid w:val="00215345"/>
    <w:rsid w:val="002E32CA"/>
    <w:rsid w:val="00320C9A"/>
    <w:rsid w:val="0037020E"/>
    <w:rsid w:val="004063B4"/>
    <w:rsid w:val="004C455A"/>
    <w:rsid w:val="0053644B"/>
    <w:rsid w:val="00542F8D"/>
    <w:rsid w:val="00592E39"/>
    <w:rsid w:val="00593759"/>
    <w:rsid w:val="005A5B21"/>
    <w:rsid w:val="0063561F"/>
    <w:rsid w:val="0068150A"/>
    <w:rsid w:val="006823ED"/>
    <w:rsid w:val="006900C6"/>
    <w:rsid w:val="006A1B8D"/>
    <w:rsid w:val="00720F49"/>
    <w:rsid w:val="00852947"/>
    <w:rsid w:val="008834C5"/>
    <w:rsid w:val="008A234C"/>
    <w:rsid w:val="009B17CF"/>
    <w:rsid w:val="00A8568C"/>
    <w:rsid w:val="00AC0564"/>
    <w:rsid w:val="00AC69A8"/>
    <w:rsid w:val="00B8002B"/>
    <w:rsid w:val="00D02528"/>
    <w:rsid w:val="00DC4AED"/>
    <w:rsid w:val="00DF05D1"/>
    <w:rsid w:val="00F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1669C-A5C6-43AE-B9FB-FCA28C20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 Narrow" w:eastAsia="Arial Narrow" w:hAnsi="Arial Narrow" w:cs="Arial Narrow"/>
      <w:b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 Narrow" w:eastAsia="Arial Narrow" w:hAnsi="Arial Narrow" w:cs="Arial Narrow"/>
      <w:b/>
      <w:color w:val="808080"/>
      <w:sz w:val="96"/>
      <w:szCs w:val="96"/>
    </w:rPr>
  </w:style>
  <w:style w:type="paragraph" w:styleId="Ttulo5">
    <w:name w:val="heading 5"/>
    <w:basedOn w:val="Normal"/>
    <w:next w:val="Normal"/>
    <w:pPr>
      <w:keepNext/>
      <w:ind w:left="2552"/>
      <w:outlineLvl w:val="4"/>
    </w:pPr>
    <w:rPr>
      <w:rFonts w:ascii="Arial Narrow" w:eastAsia="Arial Narrow" w:hAnsi="Arial Narrow" w:cs="Arial Narrow"/>
      <w:sz w:val="28"/>
      <w:szCs w:val="28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C45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55A"/>
  </w:style>
  <w:style w:type="paragraph" w:styleId="Piedepgina">
    <w:name w:val="footer"/>
    <w:basedOn w:val="Normal"/>
    <w:link w:val="PiedepginaCar"/>
    <w:uiPriority w:val="99"/>
    <w:unhideWhenUsed/>
    <w:rsid w:val="004C45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55A"/>
  </w:style>
  <w:style w:type="paragraph" w:styleId="Prrafodelista">
    <w:name w:val="List Paragraph"/>
    <w:basedOn w:val="Normal"/>
    <w:uiPriority w:val="34"/>
    <w:qFormat/>
    <w:rsid w:val="00032F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0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38mN2Ydi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.defensa@comdef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PAÑEDA REINLEIN ICIAR COVADONGA</dc:creator>
  <cp:lastModifiedBy>PAÑEDA REINLEIN ICIAR COVADONGA</cp:lastModifiedBy>
  <cp:revision>7</cp:revision>
  <dcterms:created xsi:type="dcterms:W3CDTF">2024-03-05T13:03:00Z</dcterms:created>
  <dcterms:modified xsi:type="dcterms:W3CDTF">2024-03-06T10:09:00Z</dcterms:modified>
</cp:coreProperties>
</file>