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1695"/>
      </w:tblGrid>
      <w:tr w:rsidR="007733DC" w:rsidRPr="00B003DE" w:rsidTr="007733DC">
        <w:tc>
          <w:tcPr>
            <w:tcW w:w="6799" w:type="dxa"/>
          </w:tcPr>
          <w:p w:rsidR="007733DC" w:rsidRPr="00EB0DD8" w:rsidRDefault="00BD5D0B" w:rsidP="002341E5">
            <w:pPr>
              <w:jc w:val="center"/>
              <w:rPr>
                <w:rFonts w:ascii="Arial" w:eastAsia="SimSun" w:hAnsi="Arial" w:cs="Arial"/>
                <w:caps/>
                <w:kern w:val="3"/>
                <w:sz w:val="24"/>
                <w:szCs w:val="32"/>
                <w:lang w:val="es-ES"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32"/>
                <w:lang w:val="es-ES" w:eastAsia="zh-CN" w:bidi="hi-IN"/>
              </w:rPr>
              <w:t xml:space="preserve">III </w:t>
            </w:r>
            <w:r w:rsidR="00874FC2" w:rsidRPr="00EB0DD8">
              <w:rPr>
                <w:rFonts w:ascii="Arial" w:eastAsia="SimSun" w:hAnsi="Arial" w:cs="Arial"/>
                <w:kern w:val="3"/>
                <w:sz w:val="24"/>
                <w:szCs w:val="32"/>
                <w:lang w:val="es-ES" w:eastAsia="zh-CN" w:bidi="hi-IN"/>
              </w:rPr>
              <w:t>Seminario "</w:t>
            </w:r>
            <w:r w:rsidR="000E1F65" w:rsidRPr="00EB0DD8">
              <w:rPr>
                <w:rFonts w:ascii="Arial" w:hAnsi="Arial" w:cs="Arial"/>
                <w:lang w:val="es-ES"/>
              </w:rPr>
              <w:t xml:space="preserve"> </w:t>
            </w:r>
            <w:r w:rsidR="000E1F65" w:rsidRPr="00EB0DD8">
              <w:rPr>
                <w:rFonts w:ascii="Arial" w:eastAsia="SimSun" w:hAnsi="Arial" w:cs="Arial"/>
                <w:kern w:val="3"/>
                <w:sz w:val="24"/>
                <w:szCs w:val="32"/>
                <w:lang w:val="es-ES" w:eastAsia="zh-CN" w:bidi="hi-IN"/>
              </w:rPr>
              <w:t xml:space="preserve">Implantación de la </w:t>
            </w:r>
            <w:r w:rsidR="00A04433">
              <w:rPr>
                <w:rFonts w:ascii="Arial" w:hAnsi="Arial" w:cs="Arial"/>
                <w:sz w:val="24"/>
                <w:szCs w:val="24"/>
                <w:lang w:val="es-ES"/>
              </w:rPr>
              <w:t>Perspectiva</w:t>
            </w:r>
            <w:r w:rsidR="00A04433" w:rsidRPr="00EB0DD8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0E1F65" w:rsidRPr="00EB0DD8">
              <w:rPr>
                <w:rFonts w:ascii="Arial" w:eastAsia="SimSun" w:hAnsi="Arial" w:cs="Arial"/>
                <w:kern w:val="3"/>
                <w:sz w:val="24"/>
                <w:szCs w:val="32"/>
                <w:lang w:val="es-ES" w:eastAsia="zh-CN" w:bidi="hi-IN"/>
              </w:rPr>
              <w:t xml:space="preserve">de Género en las Operaciones Militares </w:t>
            </w:r>
            <w:r w:rsidR="00874FC2" w:rsidRPr="00EB0DD8">
              <w:rPr>
                <w:rFonts w:ascii="Arial" w:eastAsia="SimSun" w:hAnsi="Arial" w:cs="Arial"/>
                <w:kern w:val="3"/>
                <w:sz w:val="24"/>
                <w:szCs w:val="32"/>
                <w:lang w:val="es-ES" w:eastAsia="zh-CN" w:bidi="hi-IN"/>
              </w:rPr>
              <w:t>"</w:t>
            </w:r>
          </w:p>
          <w:p w:rsidR="007733DC" w:rsidRDefault="007733DC" w:rsidP="00B44D6D">
            <w:pPr>
              <w:jc w:val="both"/>
              <w:rPr>
                <w:rFonts w:ascii="Verdana" w:eastAsia="SimSun" w:hAnsi="Verdana" w:cs="Mangal"/>
                <w:b/>
                <w:caps/>
                <w:kern w:val="3"/>
                <w:sz w:val="28"/>
                <w:szCs w:val="32"/>
                <w:u w:val="single"/>
                <w:lang w:val="es-ES" w:eastAsia="zh-CN" w:bidi="hi-IN"/>
              </w:rPr>
            </w:pPr>
          </w:p>
        </w:tc>
        <w:tc>
          <w:tcPr>
            <w:tcW w:w="1695" w:type="dxa"/>
          </w:tcPr>
          <w:p w:rsidR="007733DC" w:rsidRDefault="007733DC" w:rsidP="007733DC">
            <w:pPr>
              <w:jc w:val="center"/>
              <w:rPr>
                <w:rFonts w:ascii="Verdana" w:eastAsia="SimSun" w:hAnsi="Verdana" w:cs="Mangal"/>
                <w:b/>
                <w:caps/>
                <w:kern w:val="3"/>
                <w:sz w:val="28"/>
                <w:szCs w:val="32"/>
                <w:u w:val="single"/>
                <w:lang w:val="es-ES" w:eastAsia="zh-CN" w:bidi="hi-IN"/>
              </w:rPr>
            </w:pPr>
            <w:r>
              <w:rPr>
                <w:rFonts w:ascii="Verdana" w:eastAsia="SimSun" w:hAnsi="Verdana" w:cs="Mangal"/>
                <w:b/>
                <w:caps/>
                <w:noProof/>
                <w:kern w:val="3"/>
                <w:sz w:val="28"/>
                <w:szCs w:val="32"/>
                <w:u w:val="single"/>
                <w:lang w:val="es-ES" w:eastAsia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365296</wp:posOffset>
                  </wp:positionH>
                  <wp:positionV relativeFrom="paragraph">
                    <wp:posOffset>13648</wp:posOffset>
                  </wp:positionV>
                  <wp:extent cx="589915" cy="759460"/>
                  <wp:effectExtent l="0" t="0" r="635" b="254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5+5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80D1D" w:rsidRDefault="00580D1D" w:rsidP="00FF6F59">
      <w:pPr>
        <w:jc w:val="right"/>
        <w:rPr>
          <w:rFonts w:ascii="Arial" w:hAnsi="Arial" w:cs="Arial"/>
          <w:sz w:val="20"/>
          <w:szCs w:val="20"/>
          <w:lang w:val="es-ES"/>
        </w:rPr>
      </w:pPr>
    </w:p>
    <w:p w:rsidR="00FF6F59" w:rsidRPr="00EB0DD8" w:rsidRDefault="00FB4BED" w:rsidP="00FF6F59">
      <w:pPr>
        <w:jc w:val="righ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10 </w:t>
      </w:r>
      <w:r w:rsidR="00BD5D0B">
        <w:rPr>
          <w:rFonts w:ascii="Arial" w:hAnsi="Arial" w:cs="Arial"/>
          <w:sz w:val="20"/>
          <w:szCs w:val="20"/>
          <w:lang w:val="es-ES"/>
        </w:rPr>
        <w:t>de octubre de 2024</w:t>
      </w:r>
    </w:p>
    <w:p w:rsidR="00EB0DD8" w:rsidRPr="00B003DE" w:rsidRDefault="00B003DE" w:rsidP="00B003DE">
      <w:pPr>
        <w:ind w:firstLine="720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B003DE">
        <w:rPr>
          <w:rFonts w:ascii="Arial" w:hAnsi="Arial" w:cs="Arial"/>
          <w:b/>
          <w:sz w:val="24"/>
          <w:szCs w:val="24"/>
          <w:u w:val="single"/>
          <w:lang w:val="es-ES"/>
        </w:rPr>
        <w:t>Nota de prensa</w:t>
      </w:r>
    </w:p>
    <w:p w:rsidR="00963824" w:rsidRPr="00EB0DD8" w:rsidRDefault="00963824" w:rsidP="00CF7D65">
      <w:pPr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 w:rsidRPr="00EB0DD8">
        <w:rPr>
          <w:rFonts w:ascii="Arial" w:hAnsi="Arial" w:cs="Arial"/>
          <w:sz w:val="24"/>
          <w:szCs w:val="24"/>
          <w:lang w:val="es-ES"/>
        </w:rPr>
        <w:t xml:space="preserve">De acuerdo con el Plan de Acción </w:t>
      </w:r>
      <w:r w:rsidR="0026267F" w:rsidRPr="00A04433">
        <w:rPr>
          <w:rFonts w:ascii="Arial" w:hAnsi="Arial" w:cs="Arial"/>
          <w:sz w:val="24"/>
          <w:szCs w:val="24"/>
          <w:lang w:val="es-ES"/>
        </w:rPr>
        <w:t xml:space="preserve">2024 </w:t>
      </w:r>
      <w:r w:rsidRPr="00EB0DD8">
        <w:rPr>
          <w:rFonts w:ascii="Arial" w:hAnsi="Arial" w:cs="Arial"/>
          <w:sz w:val="24"/>
          <w:szCs w:val="24"/>
          <w:lang w:val="es-ES"/>
        </w:rPr>
        <w:t xml:space="preserve">de la Iniciativa de Defensa 5+5, </w:t>
      </w:r>
      <w:r w:rsidR="000E1F65" w:rsidRPr="00EB0DD8">
        <w:rPr>
          <w:rFonts w:ascii="Arial" w:hAnsi="Arial" w:cs="Arial"/>
          <w:sz w:val="24"/>
          <w:szCs w:val="24"/>
          <w:lang w:val="es-ES"/>
        </w:rPr>
        <w:t>la Secretaría Permanente de Igualdad d</w:t>
      </w:r>
      <w:r w:rsidRPr="00EB0DD8">
        <w:rPr>
          <w:rFonts w:ascii="Arial" w:hAnsi="Arial" w:cs="Arial"/>
          <w:sz w:val="24"/>
          <w:szCs w:val="24"/>
          <w:lang w:val="es-ES"/>
        </w:rPr>
        <w:t xml:space="preserve">el Ministerio de Defensa </w:t>
      </w:r>
      <w:r w:rsidR="00BD5D0B">
        <w:rPr>
          <w:rFonts w:ascii="Arial" w:hAnsi="Arial" w:cs="Arial"/>
          <w:sz w:val="24"/>
          <w:szCs w:val="24"/>
          <w:lang w:val="es-ES"/>
        </w:rPr>
        <w:t>español ha organizado el III Seminario virtual los días 09 y 10 de octubre</w:t>
      </w:r>
      <w:r w:rsidRPr="00EB0DD8">
        <w:rPr>
          <w:rFonts w:ascii="Arial" w:hAnsi="Arial" w:cs="Arial"/>
          <w:sz w:val="24"/>
          <w:szCs w:val="24"/>
          <w:lang w:val="es-ES"/>
        </w:rPr>
        <w:t xml:space="preserve"> centrado en la “Implantación de la </w:t>
      </w:r>
      <w:r w:rsidR="00145F79">
        <w:rPr>
          <w:rFonts w:ascii="Arial" w:hAnsi="Arial" w:cs="Arial"/>
          <w:sz w:val="24"/>
          <w:szCs w:val="24"/>
          <w:lang w:val="es-ES"/>
        </w:rPr>
        <w:t>Perspectiva</w:t>
      </w:r>
      <w:r w:rsidR="00145F79" w:rsidRPr="00EB0DD8">
        <w:rPr>
          <w:rFonts w:ascii="Arial" w:hAnsi="Arial" w:cs="Arial"/>
          <w:sz w:val="24"/>
          <w:szCs w:val="24"/>
          <w:lang w:val="es-ES"/>
        </w:rPr>
        <w:t xml:space="preserve"> </w:t>
      </w:r>
      <w:r w:rsidRPr="00EB0DD8">
        <w:rPr>
          <w:rFonts w:ascii="Arial" w:hAnsi="Arial" w:cs="Arial"/>
          <w:sz w:val="24"/>
          <w:szCs w:val="24"/>
          <w:lang w:val="es-ES"/>
        </w:rPr>
        <w:t>de Género en las Operaciones Militares</w:t>
      </w:r>
      <w:r w:rsidR="000E1F65" w:rsidRPr="00EB0DD8">
        <w:rPr>
          <w:rFonts w:ascii="Arial" w:hAnsi="Arial" w:cs="Arial"/>
          <w:sz w:val="24"/>
          <w:szCs w:val="24"/>
          <w:lang w:val="es-ES"/>
        </w:rPr>
        <w:t>”</w:t>
      </w:r>
      <w:r w:rsidRPr="00EB0DD8">
        <w:rPr>
          <w:rFonts w:ascii="Arial" w:hAnsi="Arial" w:cs="Arial"/>
          <w:sz w:val="24"/>
          <w:szCs w:val="24"/>
          <w:lang w:val="es-ES"/>
        </w:rPr>
        <w:t>.</w:t>
      </w:r>
    </w:p>
    <w:p w:rsidR="00E860BB" w:rsidRPr="00EB0DD8" w:rsidRDefault="00BD5D0B" w:rsidP="00E32CB3">
      <w:pPr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total han participado </w:t>
      </w:r>
      <w:r w:rsidR="00A04433">
        <w:rPr>
          <w:rFonts w:ascii="Arial" w:hAnsi="Arial" w:cs="Arial"/>
          <w:sz w:val="24"/>
          <w:szCs w:val="24"/>
          <w:lang w:val="es-ES"/>
        </w:rPr>
        <w:t>1</w:t>
      </w:r>
      <w:r w:rsidR="00B003DE">
        <w:rPr>
          <w:rFonts w:ascii="Arial" w:hAnsi="Arial" w:cs="Arial"/>
          <w:sz w:val="24"/>
          <w:szCs w:val="24"/>
          <w:lang w:val="es-ES"/>
        </w:rPr>
        <w:t>3</w:t>
      </w:r>
      <w:r w:rsidR="00A04433">
        <w:rPr>
          <w:rFonts w:ascii="Arial" w:hAnsi="Arial" w:cs="Arial"/>
          <w:sz w:val="24"/>
          <w:szCs w:val="24"/>
          <w:lang w:val="es-ES"/>
        </w:rPr>
        <w:t>2</w:t>
      </w:r>
      <w:r w:rsidR="00A04433" w:rsidRPr="00EB0DD8">
        <w:rPr>
          <w:rFonts w:ascii="Arial" w:hAnsi="Arial" w:cs="Arial"/>
          <w:sz w:val="24"/>
          <w:szCs w:val="24"/>
          <w:lang w:val="es-ES"/>
        </w:rPr>
        <w:t xml:space="preserve"> </w:t>
      </w:r>
      <w:r w:rsidR="00E860BB" w:rsidRPr="00EB0DD8">
        <w:rPr>
          <w:rFonts w:ascii="Arial" w:hAnsi="Arial" w:cs="Arial"/>
          <w:sz w:val="24"/>
          <w:szCs w:val="24"/>
          <w:lang w:val="es-ES"/>
        </w:rPr>
        <w:t>militares</w:t>
      </w:r>
      <w:r w:rsidR="00DE2C83">
        <w:rPr>
          <w:rFonts w:ascii="Arial" w:hAnsi="Arial" w:cs="Arial"/>
          <w:sz w:val="24"/>
          <w:szCs w:val="24"/>
          <w:lang w:val="es-ES"/>
        </w:rPr>
        <w:t xml:space="preserve">, </w:t>
      </w:r>
      <w:r w:rsidR="00E860BB" w:rsidRPr="00EB0DD8">
        <w:rPr>
          <w:rFonts w:ascii="Arial" w:hAnsi="Arial" w:cs="Arial"/>
          <w:sz w:val="24"/>
          <w:szCs w:val="24"/>
          <w:lang w:val="es-ES"/>
        </w:rPr>
        <w:t xml:space="preserve">policías </w:t>
      </w:r>
      <w:r w:rsidR="00DE2C83">
        <w:rPr>
          <w:rFonts w:ascii="Arial" w:hAnsi="Arial" w:cs="Arial"/>
          <w:sz w:val="24"/>
          <w:szCs w:val="24"/>
          <w:lang w:val="es-ES"/>
        </w:rPr>
        <w:t xml:space="preserve">y personal civil </w:t>
      </w:r>
      <w:r w:rsidR="00E860BB" w:rsidRPr="00EB0DD8">
        <w:rPr>
          <w:rFonts w:ascii="Arial" w:hAnsi="Arial" w:cs="Arial"/>
          <w:sz w:val="24"/>
          <w:szCs w:val="24"/>
          <w:lang w:val="es-ES"/>
        </w:rPr>
        <w:t>de Francia, Italia, Portugal, España y Malta de la orilla Norte del Mediterráneo y de Argelia, Libia, Marruecos y Túnez de la orilla Sur.</w:t>
      </w:r>
      <w:r>
        <w:rPr>
          <w:rFonts w:ascii="Arial" w:hAnsi="Arial" w:cs="Arial"/>
          <w:sz w:val="24"/>
          <w:szCs w:val="24"/>
          <w:lang w:val="es-ES"/>
        </w:rPr>
        <w:t xml:space="preserve"> En esta ocasión han participado además miembros de </w:t>
      </w:r>
      <w:r w:rsidR="0026267F">
        <w:rPr>
          <w:rFonts w:ascii="Arial" w:hAnsi="Arial" w:cs="Arial"/>
          <w:sz w:val="24"/>
          <w:szCs w:val="24"/>
          <w:lang w:val="es-ES"/>
        </w:rPr>
        <w:t xml:space="preserve">las Fuerzas Armadas y de las </w:t>
      </w:r>
      <w:r>
        <w:rPr>
          <w:rFonts w:ascii="Arial" w:hAnsi="Arial" w:cs="Arial"/>
          <w:sz w:val="24"/>
          <w:szCs w:val="24"/>
          <w:lang w:val="es-ES"/>
        </w:rPr>
        <w:t xml:space="preserve">Fuerzas </w:t>
      </w:r>
      <w:r w:rsidR="00A04433">
        <w:rPr>
          <w:rFonts w:ascii="Arial" w:hAnsi="Arial" w:cs="Arial"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Seguridad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 xml:space="preserve">de Jordania y Ecuador. </w:t>
      </w:r>
    </w:p>
    <w:p w:rsidR="00E32CB3" w:rsidRPr="00EB0DD8" w:rsidRDefault="00E32CB3" w:rsidP="00E32CB3">
      <w:pPr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 w:rsidRPr="00EB0DD8">
        <w:rPr>
          <w:rFonts w:ascii="Arial" w:hAnsi="Arial" w:cs="Arial"/>
          <w:sz w:val="24"/>
          <w:szCs w:val="24"/>
          <w:lang w:val="es-ES"/>
        </w:rPr>
        <w:t>El objetivo principal de</w:t>
      </w:r>
      <w:r w:rsidR="000E1F65" w:rsidRPr="00EB0DD8">
        <w:rPr>
          <w:rFonts w:ascii="Arial" w:hAnsi="Arial" w:cs="Arial"/>
          <w:sz w:val="24"/>
          <w:szCs w:val="24"/>
          <w:lang w:val="es-ES"/>
        </w:rPr>
        <w:t xml:space="preserve"> este</w:t>
      </w:r>
      <w:r w:rsidRPr="00EB0DD8">
        <w:rPr>
          <w:rFonts w:ascii="Arial" w:hAnsi="Arial" w:cs="Arial"/>
          <w:sz w:val="24"/>
          <w:szCs w:val="24"/>
          <w:lang w:val="es-ES"/>
        </w:rPr>
        <w:t xml:space="preserve"> seminario es formar en la integración de la perspectiva de género en </w:t>
      </w:r>
      <w:r w:rsidR="00D35C06" w:rsidRPr="00EB0DD8">
        <w:rPr>
          <w:rFonts w:ascii="Arial" w:hAnsi="Arial" w:cs="Arial"/>
          <w:sz w:val="24"/>
          <w:szCs w:val="24"/>
          <w:lang w:val="es-ES"/>
        </w:rPr>
        <w:t>los</w:t>
      </w:r>
      <w:r w:rsidRPr="00EB0DD8">
        <w:rPr>
          <w:rFonts w:ascii="Arial" w:hAnsi="Arial" w:cs="Arial"/>
          <w:sz w:val="24"/>
          <w:szCs w:val="24"/>
          <w:lang w:val="es-ES"/>
        </w:rPr>
        <w:t xml:space="preserve"> conflictos armados</w:t>
      </w:r>
      <w:r w:rsidR="002E6BF2" w:rsidRPr="00EB0DD8">
        <w:rPr>
          <w:rFonts w:ascii="Arial" w:hAnsi="Arial" w:cs="Arial"/>
          <w:sz w:val="24"/>
          <w:szCs w:val="24"/>
          <w:lang w:val="es-ES"/>
        </w:rPr>
        <w:t xml:space="preserve"> con el p</w:t>
      </w:r>
      <w:r w:rsidR="00083C2D" w:rsidRPr="00EB0DD8">
        <w:rPr>
          <w:rFonts w:ascii="Arial" w:hAnsi="Arial" w:cs="Arial"/>
          <w:sz w:val="24"/>
          <w:szCs w:val="24"/>
          <w:lang w:val="es-ES"/>
        </w:rPr>
        <w:t xml:space="preserve">ropósito de utilizar sus ventajas en beneficio de las operaciones. </w:t>
      </w:r>
      <w:r w:rsidRPr="00EB0DD8">
        <w:rPr>
          <w:rFonts w:ascii="Arial" w:hAnsi="Arial" w:cs="Arial"/>
          <w:sz w:val="24"/>
          <w:szCs w:val="24"/>
          <w:lang w:val="es-ES"/>
        </w:rPr>
        <w:t>No solo como un imperativo legal y moral</w:t>
      </w:r>
      <w:r w:rsidR="007C52AC" w:rsidRPr="00EB0DD8">
        <w:rPr>
          <w:rFonts w:ascii="Arial" w:hAnsi="Arial" w:cs="Arial"/>
          <w:sz w:val="24"/>
          <w:szCs w:val="24"/>
          <w:lang w:val="es-ES"/>
        </w:rPr>
        <w:t xml:space="preserve"> que es</w:t>
      </w:r>
      <w:r w:rsidRPr="00EB0DD8">
        <w:rPr>
          <w:rFonts w:ascii="Arial" w:hAnsi="Arial" w:cs="Arial"/>
          <w:sz w:val="24"/>
          <w:szCs w:val="24"/>
          <w:lang w:val="es-ES"/>
        </w:rPr>
        <w:t xml:space="preserve">, sino como una herramienta más para alcanzar el éxito en </w:t>
      </w:r>
      <w:r w:rsidR="002E6BF2" w:rsidRPr="00EB0DD8">
        <w:rPr>
          <w:rFonts w:ascii="Arial" w:hAnsi="Arial" w:cs="Arial"/>
          <w:sz w:val="24"/>
          <w:szCs w:val="24"/>
          <w:lang w:val="es-ES"/>
        </w:rPr>
        <w:t xml:space="preserve">las </w:t>
      </w:r>
      <w:r w:rsidR="00A04433">
        <w:rPr>
          <w:rFonts w:ascii="Arial" w:hAnsi="Arial" w:cs="Arial"/>
          <w:sz w:val="24"/>
          <w:szCs w:val="24"/>
          <w:lang w:val="es-ES"/>
        </w:rPr>
        <w:t>mismas</w:t>
      </w:r>
      <w:r w:rsidR="00083C2D" w:rsidRPr="00EB0DD8">
        <w:rPr>
          <w:rFonts w:ascii="Arial" w:hAnsi="Arial" w:cs="Arial"/>
          <w:sz w:val="24"/>
          <w:szCs w:val="24"/>
          <w:lang w:val="es-ES"/>
        </w:rPr>
        <w:t xml:space="preserve">. </w:t>
      </w:r>
      <w:r w:rsidR="00790D95" w:rsidRPr="00EB0DD8">
        <w:rPr>
          <w:rFonts w:ascii="Arial" w:hAnsi="Arial" w:cs="Arial"/>
          <w:sz w:val="24"/>
          <w:szCs w:val="24"/>
          <w:lang w:val="es-ES"/>
        </w:rPr>
        <w:t xml:space="preserve">Con esto, además, se contribuye a </w:t>
      </w:r>
      <w:r w:rsidRPr="00EB0DD8">
        <w:rPr>
          <w:rFonts w:ascii="Arial" w:hAnsi="Arial" w:cs="Arial"/>
          <w:sz w:val="24"/>
          <w:szCs w:val="24"/>
          <w:lang w:val="es-ES"/>
        </w:rPr>
        <w:t>crear un clima que favorezca la igualdad de género y el respeto por los derechos humanos en los despliegues de nuestras Fuerzas Armadas en zonas de conflicto o post conflicto.</w:t>
      </w:r>
    </w:p>
    <w:p w:rsidR="002E6BF2" w:rsidRPr="00EB0DD8" w:rsidRDefault="002E6BF2" w:rsidP="00E32CB3">
      <w:pPr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 w:rsidRPr="00EB0DD8">
        <w:rPr>
          <w:rFonts w:ascii="Arial" w:hAnsi="Arial" w:cs="Arial"/>
          <w:sz w:val="24"/>
          <w:szCs w:val="24"/>
          <w:lang w:val="es-ES"/>
        </w:rPr>
        <w:t>El conocimiento, además de la actitud, se convierte en una fuerte y poderosa herramienta para el cambio. En este seminario han participado expertos que han trabajado en la gestión de crisis, profesores universitarios y oficiales militares con amplia experiencia en operaciones en el exterior que han proporcionado conocimientos y habilidades en materia de seguridad.</w:t>
      </w:r>
    </w:p>
    <w:p w:rsidR="005622E4" w:rsidRPr="00EB0DD8" w:rsidRDefault="00790D95" w:rsidP="005622E4">
      <w:pPr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 w:rsidRPr="00EB0DD8">
        <w:rPr>
          <w:rFonts w:ascii="Arial" w:hAnsi="Arial" w:cs="Arial"/>
          <w:sz w:val="24"/>
          <w:szCs w:val="24"/>
          <w:lang w:val="es-ES"/>
        </w:rPr>
        <w:t>Con la organización de este seminario se</w:t>
      </w:r>
      <w:r w:rsidR="002E6BF2" w:rsidRPr="00EB0DD8">
        <w:rPr>
          <w:rFonts w:ascii="Arial" w:hAnsi="Arial" w:cs="Arial"/>
          <w:sz w:val="24"/>
          <w:szCs w:val="24"/>
          <w:lang w:val="es-ES"/>
        </w:rPr>
        <w:t xml:space="preserve"> da cumplimiento a </w:t>
      </w:r>
      <w:r w:rsidR="005622E4" w:rsidRPr="00EB0DD8">
        <w:rPr>
          <w:rFonts w:ascii="Arial" w:hAnsi="Arial" w:cs="Arial"/>
          <w:sz w:val="24"/>
          <w:szCs w:val="24"/>
          <w:lang w:val="es-ES"/>
        </w:rPr>
        <w:t>objetivos establecidos en el marco jurídico internacional</w:t>
      </w:r>
      <w:r w:rsidRPr="00EB0DD8">
        <w:rPr>
          <w:rFonts w:ascii="Arial" w:hAnsi="Arial" w:cs="Arial"/>
          <w:sz w:val="24"/>
          <w:szCs w:val="24"/>
          <w:lang w:val="es-ES"/>
        </w:rPr>
        <w:t>, como son</w:t>
      </w:r>
      <w:r w:rsidR="005622E4" w:rsidRPr="00EB0DD8">
        <w:rPr>
          <w:rFonts w:ascii="Arial" w:hAnsi="Arial" w:cs="Arial"/>
          <w:sz w:val="24"/>
          <w:szCs w:val="24"/>
          <w:lang w:val="es-ES"/>
        </w:rPr>
        <w:t>:</w:t>
      </w:r>
    </w:p>
    <w:p w:rsidR="005622E4" w:rsidRPr="00EB0DD8" w:rsidRDefault="00790D95" w:rsidP="001E5F4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EB0DD8">
        <w:rPr>
          <w:rFonts w:ascii="Arial" w:hAnsi="Arial" w:cs="Arial"/>
          <w:lang w:val="es-ES"/>
        </w:rPr>
        <w:t>M</w:t>
      </w:r>
      <w:r w:rsidR="005622E4" w:rsidRPr="00EB0DD8">
        <w:rPr>
          <w:rFonts w:ascii="Arial" w:hAnsi="Arial" w:cs="Arial"/>
          <w:lang w:val="es-ES"/>
        </w:rPr>
        <w:t xml:space="preserve">ejorar la estabilidad y la seguridad internacionales mediante la aplicación de la Resolución 1325 del Consejo de Seguridad de las Naciones Unidas y las resoluciones </w:t>
      </w:r>
      <w:r w:rsidR="009500D2" w:rsidRPr="00EB0DD8">
        <w:rPr>
          <w:rFonts w:ascii="Arial" w:hAnsi="Arial" w:cs="Arial"/>
          <w:lang w:val="es-ES"/>
        </w:rPr>
        <w:t>derivadas de ella e incluidas en la Agenda M</w:t>
      </w:r>
      <w:r w:rsidR="005622E4" w:rsidRPr="00EB0DD8">
        <w:rPr>
          <w:rFonts w:ascii="Arial" w:hAnsi="Arial" w:cs="Arial"/>
          <w:lang w:val="es-ES"/>
        </w:rPr>
        <w:t>ujer</w:t>
      </w:r>
      <w:r w:rsidR="009500D2" w:rsidRPr="00EB0DD8">
        <w:rPr>
          <w:rFonts w:ascii="Arial" w:hAnsi="Arial" w:cs="Arial"/>
          <w:lang w:val="es-ES"/>
        </w:rPr>
        <w:t>es</w:t>
      </w:r>
      <w:r w:rsidR="005622E4" w:rsidRPr="00EB0DD8">
        <w:rPr>
          <w:rFonts w:ascii="Arial" w:hAnsi="Arial" w:cs="Arial"/>
          <w:lang w:val="es-ES"/>
        </w:rPr>
        <w:t xml:space="preserve">, </w:t>
      </w:r>
      <w:r w:rsidR="009500D2" w:rsidRPr="00EB0DD8">
        <w:rPr>
          <w:rFonts w:ascii="Arial" w:hAnsi="Arial" w:cs="Arial"/>
          <w:lang w:val="es-ES"/>
        </w:rPr>
        <w:t>P</w:t>
      </w:r>
      <w:r w:rsidR="005622E4" w:rsidRPr="00EB0DD8">
        <w:rPr>
          <w:rFonts w:ascii="Arial" w:hAnsi="Arial" w:cs="Arial"/>
          <w:lang w:val="es-ES"/>
        </w:rPr>
        <w:t xml:space="preserve">az y </w:t>
      </w:r>
      <w:r w:rsidR="009500D2" w:rsidRPr="00EB0DD8">
        <w:rPr>
          <w:rFonts w:ascii="Arial" w:hAnsi="Arial" w:cs="Arial"/>
          <w:lang w:val="es-ES"/>
        </w:rPr>
        <w:t>S</w:t>
      </w:r>
      <w:r w:rsidR="005622E4" w:rsidRPr="00EB0DD8">
        <w:rPr>
          <w:rFonts w:ascii="Arial" w:hAnsi="Arial" w:cs="Arial"/>
          <w:lang w:val="es-ES"/>
        </w:rPr>
        <w:t>eguridad.</w:t>
      </w:r>
    </w:p>
    <w:p w:rsidR="005622E4" w:rsidRPr="00EB0DD8" w:rsidRDefault="00790D95" w:rsidP="001E5F4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EB0DD8">
        <w:rPr>
          <w:rFonts w:ascii="Arial" w:hAnsi="Arial" w:cs="Arial"/>
          <w:lang w:val="es-ES"/>
        </w:rPr>
        <w:t>I</w:t>
      </w:r>
      <w:r w:rsidR="005622E4" w:rsidRPr="00EB0DD8">
        <w:rPr>
          <w:rFonts w:ascii="Arial" w:hAnsi="Arial" w:cs="Arial"/>
          <w:lang w:val="es-ES"/>
        </w:rPr>
        <w:t>mplementar un enfoque integral en Seguridad y Defensa, especialmente referido a la Perspectiva de Género en la</w:t>
      </w:r>
      <w:r w:rsidR="009500D2" w:rsidRPr="00EB0DD8">
        <w:rPr>
          <w:rFonts w:ascii="Arial" w:hAnsi="Arial" w:cs="Arial"/>
          <w:lang w:val="es-ES"/>
        </w:rPr>
        <w:t xml:space="preserve"> gestión de las Crisis y </w:t>
      </w:r>
      <w:r w:rsidR="005622E4" w:rsidRPr="00EB0DD8">
        <w:rPr>
          <w:rFonts w:ascii="Arial" w:hAnsi="Arial" w:cs="Arial"/>
          <w:lang w:val="es-ES"/>
        </w:rPr>
        <w:t>Operaciones</w:t>
      </w:r>
      <w:r w:rsidR="00D35C06" w:rsidRPr="00EB0DD8">
        <w:rPr>
          <w:rFonts w:ascii="Arial" w:hAnsi="Arial" w:cs="Arial"/>
          <w:lang w:val="es-ES"/>
        </w:rPr>
        <w:t xml:space="preserve"> Militares</w:t>
      </w:r>
      <w:r w:rsidR="005622E4" w:rsidRPr="00EB0DD8">
        <w:rPr>
          <w:rFonts w:ascii="Arial" w:hAnsi="Arial" w:cs="Arial"/>
          <w:lang w:val="es-ES"/>
        </w:rPr>
        <w:t>.</w:t>
      </w:r>
    </w:p>
    <w:p w:rsidR="00F55090" w:rsidRDefault="00790D95" w:rsidP="00EB0DD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EB0DD8">
        <w:rPr>
          <w:rFonts w:ascii="Arial" w:hAnsi="Arial" w:cs="Arial"/>
          <w:lang w:val="es-ES"/>
        </w:rPr>
        <w:t>C</w:t>
      </w:r>
      <w:r w:rsidR="00F55090" w:rsidRPr="00EB0DD8">
        <w:rPr>
          <w:rFonts w:ascii="Arial" w:hAnsi="Arial" w:cs="Arial"/>
          <w:lang w:val="es-ES"/>
        </w:rPr>
        <w:t xml:space="preserve">olaborar a una formación eficiente </w:t>
      </w:r>
      <w:r w:rsidR="00E75DA8" w:rsidRPr="00EB0DD8">
        <w:rPr>
          <w:rFonts w:ascii="Arial" w:hAnsi="Arial" w:cs="Arial"/>
          <w:lang w:val="es-ES"/>
        </w:rPr>
        <w:t xml:space="preserve">de personal militar de </w:t>
      </w:r>
      <w:r w:rsidRPr="00EB0DD8">
        <w:rPr>
          <w:rFonts w:ascii="Arial" w:hAnsi="Arial" w:cs="Arial"/>
          <w:lang w:val="es-ES"/>
        </w:rPr>
        <w:t xml:space="preserve">las </w:t>
      </w:r>
      <w:r w:rsidR="00E75DA8" w:rsidRPr="00EB0DD8">
        <w:rPr>
          <w:rFonts w:ascii="Arial" w:hAnsi="Arial" w:cs="Arial"/>
          <w:lang w:val="es-ES"/>
        </w:rPr>
        <w:t>Fuerzas Armadas que pueda ser desplegado en zonas de operaciones internacionales</w:t>
      </w:r>
      <w:r w:rsidR="00F55090" w:rsidRPr="00EB0DD8">
        <w:rPr>
          <w:rFonts w:ascii="Arial" w:hAnsi="Arial" w:cs="Arial"/>
          <w:lang w:val="es-ES"/>
        </w:rPr>
        <w:t>.</w:t>
      </w:r>
    </w:p>
    <w:p w:rsidR="00EB0DD8" w:rsidRPr="00EB0DD8" w:rsidRDefault="00EB0DD8" w:rsidP="00EB0DD8">
      <w:pPr>
        <w:pStyle w:val="Prrafodelista"/>
        <w:ind w:left="1080"/>
        <w:jc w:val="both"/>
        <w:rPr>
          <w:rFonts w:ascii="Arial" w:hAnsi="Arial" w:cs="Arial"/>
          <w:lang w:val="es-ES"/>
        </w:rPr>
      </w:pPr>
    </w:p>
    <w:p w:rsidR="004E7565" w:rsidRPr="004E7565" w:rsidRDefault="00E860BB" w:rsidP="00EB0DD8">
      <w:pPr>
        <w:spacing w:line="240" w:lineRule="auto"/>
        <w:ind w:firstLine="720"/>
        <w:jc w:val="both"/>
        <w:rPr>
          <w:sz w:val="24"/>
          <w:lang w:val="es-ES"/>
        </w:rPr>
      </w:pPr>
      <w:r w:rsidRPr="00EB0DD8">
        <w:rPr>
          <w:rFonts w:ascii="Arial" w:hAnsi="Arial" w:cs="Arial"/>
          <w:sz w:val="24"/>
          <w:szCs w:val="24"/>
          <w:lang w:val="es-ES"/>
        </w:rPr>
        <w:t>El Ministerio de Defensa de España cuenta con una amplia experiencia en forma</w:t>
      </w:r>
      <w:r w:rsidR="00EB0DD8" w:rsidRPr="00EB0DD8">
        <w:rPr>
          <w:rFonts w:ascii="Arial" w:hAnsi="Arial" w:cs="Arial"/>
          <w:sz w:val="24"/>
          <w:szCs w:val="24"/>
          <w:lang w:val="es-ES"/>
        </w:rPr>
        <w:t>ción y capacitación en la i</w:t>
      </w:r>
      <w:r w:rsidRPr="00EB0DD8">
        <w:rPr>
          <w:rFonts w:ascii="Arial" w:hAnsi="Arial" w:cs="Arial"/>
          <w:sz w:val="24"/>
          <w:szCs w:val="24"/>
          <w:lang w:val="es-ES"/>
        </w:rPr>
        <w:t xml:space="preserve">mplementación de </w:t>
      </w:r>
      <w:r w:rsidR="00EB0DD8" w:rsidRPr="00EB0DD8">
        <w:rPr>
          <w:rFonts w:ascii="Arial" w:hAnsi="Arial" w:cs="Arial"/>
          <w:sz w:val="24"/>
          <w:szCs w:val="24"/>
          <w:lang w:val="es-ES"/>
        </w:rPr>
        <w:t>la p</w:t>
      </w:r>
      <w:r w:rsidRPr="00EB0DD8">
        <w:rPr>
          <w:rFonts w:ascii="Arial" w:hAnsi="Arial" w:cs="Arial"/>
          <w:sz w:val="24"/>
          <w:szCs w:val="24"/>
          <w:lang w:val="es-ES"/>
        </w:rPr>
        <w:t xml:space="preserve">erspectiva de </w:t>
      </w:r>
      <w:r w:rsidR="00EB0DD8" w:rsidRPr="00EB0DD8">
        <w:rPr>
          <w:rFonts w:ascii="Arial" w:hAnsi="Arial" w:cs="Arial"/>
          <w:sz w:val="24"/>
          <w:szCs w:val="24"/>
          <w:lang w:val="es-ES"/>
        </w:rPr>
        <w:t>g</w:t>
      </w:r>
      <w:r w:rsidRPr="00EB0DD8">
        <w:rPr>
          <w:rFonts w:ascii="Arial" w:hAnsi="Arial" w:cs="Arial"/>
          <w:sz w:val="24"/>
          <w:szCs w:val="24"/>
          <w:lang w:val="es-ES"/>
        </w:rPr>
        <w:t xml:space="preserve">énero </w:t>
      </w:r>
      <w:r w:rsidRPr="00EB0DD8">
        <w:rPr>
          <w:rFonts w:ascii="Arial" w:hAnsi="Arial" w:cs="Arial"/>
          <w:sz w:val="24"/>
          <w:szCs w:val="24"/>
          <w:lang w:val="es-ES"/>
        </w:rPr>
        <w:lastRenderedPageBreak/>
        <w:t xml:space="preserve">en </w:t>
      </w:r>
      <w:r w:rsidR="00EB0DD8" w:rsidRPr="00EB0DD8">
        <w:rPr>
          <w:rFonts w:ascii="Arial" w:hAnsi="Arial" w:cs="Arial"/>
          <w:sz w:val="24"/>
          <w:szCs w:val="24"/>
          <w:lang w:val="es-ES"/>
        </w:rPr>
        <w:t>o</w:t>
      </w:r>
      <w:r w:rsidRPr="00EB0DD8">
        <w:rPr>
          <w:rFonts w:ascii="Arial" w:hAnsi="Arial" w:cs="Arial"/>
          <w:sz w:val="24"/>
          <w:szCs w:val="24"/>
          <w:lang w:val="es-ES"/>
        </w:rPr>
        <w:t>peraciones</w:t>
      </w:r>
      <w:r w:rsidR="00EB0DD8" w:rsidRPr="00EB0DD8">
        <w:rPr>
          <w:rFonts w:ascii="Arial" w:hAnsi="Arial" w:cs="Arial"/>
          <w:sz w:val="24"/>
          <w:szCs w:val="24"/>
          <w:lang w:val="es-ES"/>
        </w:rPr>
        <w:t xml:space="preserve">. En 2016 </w:t>
      </w:r>
      <w:r w:rsidRPr="00EB0DD8">
        <w:rPr>
          <w:rFonts w:ascii="Arial" w:hAnsi="Arial" w:cs="Arial"/>
          <w:sz w:val="24"/>
          <w:szCs w:val="24"/>
          <w:lang w:val="es-ES"/>
        </w:rPr>
        <w:t>fue designado Líder de Disciplina de Género para las Misiones y Operaciones de la Política Común de Seguridad y Defensa de la Unión Europea. También desde 2011</w:t>
      </w:r>
      <w:r w:rsidR="00EB0DD8" w:rsidRPr="00EB0DD8">
        <w:rPr>
          <w:rFonts w:ascii="Arial" w:hAnsi="Arial" w:cs="Arial"/>
          <w:sz w:val="24"/>
          <w:szCs w:val="24"/>
          <w:lang w:val="es-ES"/>
        </w:rPr>
        <w:t xml:space="preserve"> proporciona f</w:t>
      </w:r>
      <w:r w:rsidRPr="00EB0DD8">
        <w:rPr>
          <w:rFonts w:ascii="Arial" w:hAnsi="Arial" w:cs="Arial"/>
          <w:sz w:val="24"/>
          <w:szCs w:val="24"/>
          <w:lang w:val="es-ES"/>
        </w:rPr>
        <w:t>ormaci</w:t>
      </w:r>
      <w:r w:rsidR="00EB0DD8" w:rsidRPr="00EB0DD8">
        <w:rPr>
          <w:rFonts w:ascii="Arial" w:hAnsi="Arial" w:cs="Arial"/>
          <w:sz w:val="24"/>
          <w:szCs w:val="24"/>
          <w:lang w:val="es-ES"/>
        </w:rPr>
        <w:t>ón</w:t>
      </w:r>
      <w:r w:rsidRPr="00EB0DD8">
        <w:rPr>
          <w:rFonts w:ascii="Arial" w:hAnsi="Arial" w:cs="Arial"/>
          <w:sz w:val="24"/>
          <w:szCs w:val="24"/>
          <w:lang w:val="es-ES"/>
        </w:rPr>
        <w:t xml:space="preserve"> </w:t>
      </w:r>
      <w:r w:rsidR="00EB0DD8" w:rsidRPr="00EB0DD8">
        <w:rPr>
          <w:rFonts w:ascii="Arial" w:hAnsi="Arial" w:cs="Arial"/>
          <w:sz w:val="24"/>
          <w:szCs w:val="24"/>
          <w:lang w:val="es-ES"/>
        </w:rPr>
        <w:t>i</w:t>
      </w:r>
      <w:r w:rsidRPr="00EB0DD8">
        <w:rPr>
          <w:rFonts w:ascii="Arial" w:hAnsi="Arial" w:cs="Arial"/>
          <w:sz w:val="24"/>
          <w:szCs w:val="24"/>
          <w:lang w:val="es-ES"/>
        </w:rPr>
        <w:t xml:space="preserve">nternacional de </w:t>
      </w:r>
      <w:r w:rsidR="00EB0DD8" w:rsidRPr="00EB0DD8">
        <w:rPr>
          <w:rFonts w:ascii="Arial" w:hAnsi="Arial" w:cs="Arial"/>
          <w:sz w:val="24"/>
          <w:szCs w:val="24"/>
          <w:lang w:val="es-ES"/>
        </w:rPr>
        <w:t>g</w:t>
      </w:r>
      <w:r w:rsidRPr="00EB0DD8">
        <w:rPr>
          <w:rFonts w:ascii="Arial" w:hAnsi="Arial" w:cs="Arial"/>
          <w:sz w:val="24"/>
          <w:szCs w:val="24"/>
          <w:lang w:val="es-ES"/>
        </w:rPr>
        <w:t xml:space="preserve">énero bajo la certificación del Colegio Europeo de Seguridad y Defensa. </w:t>
      </w:r>
    </w:p>
    <w:sectPr w:rsidR="004E7565" w:rsidRPr="004E7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22CB"/>
    <w:multiLevelType w:val="hybridMultilevel"/>
    <w:tmpl w:val="1598D9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4E24CD"/>
    <w:multiLevelType w:val="hybridMultilevel"/>
    <w:tmpl w:val="F31865C6"/>
    <w:lvl w:ilvl="0" w:tplc="E54075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E6F75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88F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A48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0218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C68F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5E16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1C83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3CEA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140F2"/>
    <w:multiLevelType w:val="hybridMultilevel"/>
    <w:tmpl w:val="746AA2D2"/>
    <w:lvl w:ilvl="0" w:tplc="E626BD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B6070D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C3E5F5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DFEFB3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82470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C2E7F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52C71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324125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80811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6D"/>
    <w:rsid w:val="000023A3"/>
    <w:rsid w:val="00070AF8"/>
    <w:rsid w:val="00083C2D"/>
    <w:rsid w:val="000D6DDE"/>
    <w:rsid w:val="000E1F65"/>
    <w:rsid w:val="00145F79"/>
    <w:rsid w:val="001B3AE4"/>
    <w:rsid w:val="001B53F4"/>
    <w:rsid w:val="001E5F48"/>
    <w:rsid w:val="00213385"/>
    <w:rsid w:val="002341E5"/>
    <w:rsid w:val="00261DF2"/>
    <w:rsid w:val="0026267F"/>
    <w:rsid w:val="002E04F4"/>
    <w:rsid w:val="002E6BF2"/>
    <w:rsid w:val="00316BAC"/>
    <w:rsid w:val="00432016"/>
    <w:rsid w:val="004544A7"/>
    <w:rsid w:val="004C1FB3"/>
    <w:rsid w:val="004D0016"/>
    <w:rsid w:val="004E7565"/>
    <w:rsid w:val="005622E4"/>
    <w:rsid w:val="00580513"/>
    <w:rsid w:val="00580D1D"/>
    <w:rsid w:val="005A0EDB"/>
    <w:rsid w:val="005A593B"/>
    <w:rsid w:val="00676841"/>
    <w:rsid w:val="007733DC"/>
    <w:rsid w:val="00790D95"/>
    <w:rsid w:val="007C52AC"/>
    <w:rsid w:val="00800E49"/>
    <w:rsid w:val="00872E0D"/>
    <w:rsid w:val="00874FC2"/>
    <w:rsid w:val="008B21CE"/>
    <w:rsid w:val="009500D2"/>
    <w:rsid w:val="00963824"/>
    <w:rsid w:val="009B7A74"/>
    <w:rsid w:val="009D30EA"/>
    <w:rsid w:val="009E47AD"/>
    <w:rsid w:val="00A04433"/>
    <w:rsid w:val="00A239E3"/>
    <w:rsid w:val="00AC29C6"/>
    <w:rsid w:val="00AF5B57"/>
    <w:rsid w:val="00B003DE"/>
    <w:rsid w:val="00B07D93"/>
    <w:rsid w:val="00B07EEC"/>
    <w:rsid w:val="00B44D6D"/>
    <w:rsid w:val="00BD5D0B"/>
    <w:rsid w:val="00BD7D73"/>
    <w:rsid w:val="00BE53CD"/>
    <w:rsid w:val="00C4268E"/>
    <w:rsid w:val="00C53401"/>
    <w:rsid w:val="00CF7D65"/>
    <w:rsid w:val="00D260B9"/>
    <w:rsid w:val="00D35C06"/>
    <w:rsid w:val="00D66278"/>
    <w:rsid w:val="00D94114"/>
    <w:rsid w:val="00DB4C10"/>
    <w:rsid w:val="00DE2C83"/>
    <w:rsid w:val="00E32CB3"/>
    <w:rsid w:val="00E75DA8"/>
    <w:rsid w:val="00E860BB"/>
    <w:rsid w:val="00EB0DD8"/>
    <w:rsid w:val="00F55090"/>
    <w:rsid w:val="00FB4BED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9009"/>
  <w15:chartTrackingRefBased/>
  <w15:docId w15:val="{734DC415-D6C9-44D5-B81E-988066A5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44D6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nl-NL" w:eastAsia="zh-CN" w:bidi="hi-IN"/>
    </w:rPr>
  </w:style>
  <w:style w:type="character" w:styleId="Hipervnculo">
    <w:name w:val="Hyperlink"/>
    <w:basedOn w:val="Fuentedeprrafopredeter"/>
    <w:uiPriority w:val="99"/>
    <w:semiHidden/>
    <w:unhideWhenUsed/>
    <w:rsid w:val="00070A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E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rrafodelista">
    <w:name w:val="List Paragraph"/>
    <w:basedOn w:val="Normal"/>
    <w:uiPriority w:val="34"/>
    <w:qFormat/>
    <w:rsid w:val="005A59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aconcuadrcula">
    <w:name w:val="Table Grid"/>
    <w:basedOn w:val="Tablanormal"/>
    <w:uiPriority w:val="39"/>
    <w:rsid w:val="0077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4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776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68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76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 PAUL JUAN JOSE</dc:creator>
  <cp:keywords/>
  <dc:description/>
  <cp:lastModifiedBy>LUCERO PAUL JUAN JOSE</cp:lastModifiedBy>
  <cp:revision>5</cp:revision>
  <dcterms:created xsi:type="dcterms:W3CDTF">2024-10-07T07:57:00Z</dcterms:created>
  <dcterms:modified xsi:type="dcterms:W3CDTF">2024-10-09T13:37:00Z</dcterms:modified>
</cp:coreProperties>
</file>